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Youth Sports Season Alignment Toolkit</w:t>
      </w:r>
      <w:r>
        <w:br w:type="textWrapping"/>
      </w:r>
      <w:r>
        <w:rPr>
          <w:rtl w:val="0"/>
          <w:lang w:val="en-US"/>
        </w:rPr>
        <w:t>Athlete &amp; Parent Agreements</w:t>
      </w:r>
    </w:p>
    <w:p>
      <w:pPr>
        <w:pStyle w:val="Body"/>
      </w:pPr>
      <w:r>
        <w:rPr>
          <w:rtl w:val="0"/>
        </w:rPr>
        <w:t>Welcome to the ParentSideline.com Season Alignment Toolkit. This toolkit is a complete series of editable, age-appropriate athlete and parent agreements designed to establish clear expectations, shared values, and open communication lines before a youth sports season begins.</w:t>
      </w:r>
      <w:r>
        <w:br w:type="textWrapping"/>
        <w:br w:type="textWrapping"/>
      </w:r>
      <w:r>
        <w:rPr>
          <w:rtl w:val="0"/>
        </w:rPr>
        <w:t>Important Note for Families:</w:t>
      </w:r>
      <w:r>
        <w:br w:type="textWrapping"/>
      </w:r>
      <w:r>
        <w:rPr>
          <w:rtl w:val="0"/>
        </w:rPr>
        <w:t>These documents are family accountability tools, not rigid legal contracts. They are designed to foster positive conversations, teach responsibility, and ensure that both athletes and parents are aligned on core values like commitment, effort, sportsmanship, and emotional control. Crucially, each agreement applies ONLY to the current season. They reinforce the understanding that sports are a choice made season-by-season, allowing children to explore various activities without feeling locked into an indefinite commitment.</w:t>
      </w:r>
    </w:p>
    <w:p>
      <w:pPr>
        <w:pStyle w:val="Heading"/>
      </w:pPr>
      <w:r>
        <w:rPr>
          <w:rtl w:val="0"/>
          <w:lang w:val="en-US"/>
        </w:rPr>
        <w:t>How to Use This Toolkit:</w:t>
      </w:r>
    </w:p>
    <w:p>
      <w:pPr>
        <w:pStyle w:val="Body"/>
      </w:pPr>
      <w:r>
        <w:rPr>
          <w:rtl w:val="0"/>
        </w:rPr>
        <w:t>1. Select the appropriate age version for your child (Peewee: 5-7, Youth: 8-10, Preteen: 11-12, Middle School: 13-14, High School: 15-18).</w:t>
      </w:r>
    </w:p>
    <w:p>
      <w:pPr>
        <w:pStyle w:val="Body"/>
      </w:pPr>
      <w:r>
        <w:rPr>
          <w:rtl w:val="0"/>
        </w:rPr>
        <w:t>2. Review the separate Athlete and Parent Agreements for that age bracket.</w:t>
      </w:r>
    </w:p>
    <w:p>
      <w:pPr>
        <w:pStyle w:val="Body"/>
      </w:pPr>
      <w:r>
        <w:rPr>
          <w:rtl w:val="0"/>
        </w:rPr>
        <w:t>3. Customize the core commitments or add items from the 'Optional Family Conditions and Ideas' section at the back.</w:t>
      </w:r>
    </w:p>
    <w:p>
      <w:pPr>
        <w:pStyle w:val="Body"/>
      </w:pPr>
      <w:r>
        <w:rPr>
          <w:rtl w:val="0"/>
        </w:rPr>
        <w:t>4. Hold a brief family meeting before the season starts to review, check boxes, and sign the agreements together.</w:t>
      </w:r>
    </w:p>
    <w:p>
      <w:pPr>
        <w:pStyle w:val="Body"/>
      </w:pPr>
      <w:r>
        <w:rPr>
          <w:rtl w:val="0"/>
        </w:rPr>
        <w:t>5. Place the completed agreement on the refrigerator or a shared bulletin board for easy reference throughout the season.</w:t>
      </w:r>
    </w:p>
    <w:p>
      <w:pPr>
        <w:pStyle w:val="Body"/>
      </w:pPr>
      <w:r>
        <w:rPr>
          <w:rFonts w:ascii="Arial Unicode MS" w:cs="Arial Unicode MS" w:hAnsi="Arial Unicode MS" w:eastAsia="Arial Unicode MS"/>
          <w:b w:val="0"/>
          <w:bCs w:val="0"/>
          <w:i w:val="0"/>
          <w:iCs w:val="0"/>
        </w:rPr>
        <w:br w:type="page"/>
      </w:r>
    </w:p>
    <w:p>
      <w:pPr>
        <w:pStyle w:val="Heading"/>
        <w:jc w:val="center"/>
      </w:pPr>
      <w:r>
        <w:rPr>
          <w:rtl w:val="0"/>
          <w:lang w:val="en-US"/>
        </w:rPr>
        <w:t>Supplementary Guide</w:t>
      </w:r>
    </w:p>
    <w:p>
      <w:pPr>
        <w:pStyle w:val="Title"/>
      </w:pPr>
      <w:r>
        <w:rPr>
          <w:rtl w:val="0"/>
          <w:lang w:val="en-US"/>
        </w:rPr>
        <w:t>Optional Family Conditions and Ideas</w:t>
      </w:r>
    </w:p>
    <w:p>
      <w:pPr>
        <w:pStyle w:val="Body"/>
      </w:pPr>
      <w:r>
        <w:rPr>
          <w:rtl w:val="0"/>
        </w:rPr>
        <w:t>Parents can utilize these optional modules to customize expectations based on their child's unique needs, household rules, and specific league dynamics. These are meant to inspire positive dialogue, not to serve as rigid punishments.</w:t>
      </w:r>
    </w:p>
    <w:p>
      <w:pPr>
        <w:pStyle w:val="Heading 2"/>
        <w:numPr>
          <w:ilvl w:val="0"/>
          <w:numId w:val="2"/>
        </w:numPr>
        <w:rPr>
          <w:lang w:val="en-US"/>
        </w:rPr>
      </w:pPr>
      <w:r>
        <w:rPr>
          <w:rtl w:val="0"/>
          <w:lang w:val="en-US"/>
        </w:rPr>
        <w:t>Season Commitment &amp; Finishing What You Start</w:t>
      </w:r>
    </w:p>
    <w:p>
      <w:pPr>
        <w:pStyle w:val="Body"/>
        <w:numPr>
          <w:ilvl w:val="0"/>
          <w:numId w:val="4"/>
        </w:numPr>
      </w:pPr>
      <w:r>
        <w:rPr>
          <w:rtl w:val="0"/>
        </w:rPr>
        <w:t>Finishing the Season: Once the athlete officially begins the season, they agree to finish it completely. Quitting mid-season is only permitted for a severe physical injury, certified mental health crisis, family emergency, or an unsafe coaching environment vetted by the parent.</w:t>
      </w:r>
    </w:p>
    <w:p>
      <w:pPr>
        <w:pStyle w:val="Body"/>
        <w:numPr>
          <w:ilvl w:val="0"/>
          <w:numId w:val="4"/>
        </w:numPr>
      </w:pPr>
      <w:r>
        <w:rPr>
          <w:rtl w:val="0"/>
        </w:rPr>
        <w:t>Future Choices: The athlete is under no obligation to participate in this sport next season. They have full autonomy to change sports or activities once the current season concludes.</w:t>
      </w:r>
    </w:p>
    <w:p>
      <w:pPr>
        <w:pStyle w:val="Body"/>
        <w:numPr>
          <w:ilvl w:val="0"/>
          <w:numId w:val="4"/>
        </w:numPr>
      </w:pPr>
      <w:r>
        <w:rPr>
          <w:rtl w:val="0"/>
        </w:rPr>
        <w:t>Open Communication: If the athlete is unhappy, the family will hold an open meeting to discuss the root cause rather than quitting abruptly without communication.</w:t>
      </w:r>
    </w:p>
    <w:p>
      <w:pPr>
        <w:pStyle w:val="Heading 2"/>
        <w:numPr>
          <w:ilvl w:val="0"/>
          <w:numId w:val="2"/>
        </w:numPr>
        <w:rPr>
          <w:lang w:val="en-US"/>
        </w:rPr>
      </w:pPr>
      <w:r>
        <w:rPr>
          <w:rtl w:val="0"/>
          <w:lang w:val="en-US"/>
        </w:rPr>
        <w:t>Attendance, Punctuality, and Notification</w:t>
      </w:r>
    </w:p>
    <w:p>
      <w:pPr>
        <w:pStyle w:val="Body"/>
        <w:numPr>
          <w:ilvl w:val="0"/>
          <w:numId w:val="5"/>
        </w:numPr>
      </w:pPr>
      <w:r>
        <w:rPr>
          <w:rtl w:val="0"/>
        </w:rPr>
        <w:t>Advance Notice: If an athlete must miss a practice or game due to a mandatory school event, family emergency, or illness, they (or the parent, depending on age) must notify the coach at least 24 to 48 hours in advance.</w:t>
      </w:r>
    </w:p>
    <w:p>
      <w:pPr>
        <w:pStyle w:val="Body"/>
        <w:numPr>
          <w:ilvl w:val="0"/>
          <w:numId w:val="5"/>
        </w:numPr>
      </w:pPr>
      <w:r>
        <w:rPr>
          <w:rtl w:val="0"/>
        </w:rPr>
        <w:t>On-Time Standards: 'On time' means arriving with all necessary gear on, laces tied, and ready to step onto the surface at the designated time, not pulling into the parking lot.</w:t>
      </w:r>
    </w:p>
    <w:p>
      <w:pPr>
        <w:pStyle w:val="Body"/>
        <w:numPr>
          <w:ilvl w:val="0"/>
          <w:numId w:val="5"/>
        </w:numPr>
      </w:pPr>
      <w:r>
        <w:rPr>
          <w:rtl w:val="0"/>
        </w:rPr>
        <w:t>Consequence Alignment: Missing practices for non-emergency reasons may result in reduced playing time during the subsequent game, per team rules, which the family respects.</w:t>
      </w:r>
    </w:p>
    <w:p>
      <w:pPr>
        <w:pStyle w:val="Heading 2"/>
        <w:numPr>
          <w:ilvl w:val="0"/>
          <w:numId w:val="2"/>
        </w:numPr>
        <w:rPr>
          <w:lang w:val="en-US"/>
        </w:rPr>
      </w:pPr>
      <w:r>
        <w:rPr>
          <w:rtl w:val="0"/>
          <w:lang w:val="en-US"/>
        </w:rPr>
        <w:t>Gear, Equipment, and Prep Responsibilities</w:t>
      </w:r>
    </w:p>
    <w:p>
      <w:pPr>
        <w:pStyle w:val="Body"/>
        <w:numPr>
          <w:ilvl w:val="0"/>
          <w:numId w:val="5"/>
        </w:numPr>
      </w:pPr>
      <w:r>
        <w:rPr>
          <w:rtl w:val="0"/>
        </w:rPr>
        <w:t>Age-Appropriate Ownership: Peewees help pack; Youth double-check; Preteens and above take 100% ownership of packing, cleaning, and tracking their uniforms, pads, safety gear, and water bottles.</w:t>
      </w:r>
    </w:p>
    <w:p>
      <w:pPr>
        <w:pStyle w:val="Body"/>
        <w:numPr>
          <w:ilvl w:val="0"/>
          <w:numId w:val="5"/>
        </w:numPr>
      </w:pPr>
      <w:r>
        <w:rPr>
          <w:rtl w:val="0"/>
        </w:rPr>
        <w:t>Lost Item Accountability: If an athlete loses an essential piece of personal equipment due to carelessness, they will contribute to its replacement cost through chores or saved allowance.</w:t>
      </w:r>
    </w:p>
    <w:p>
      <w:pPr>
        <w:pStyle w:val="Body"/>
        <w:numPr>
          <w:ilvl w:val="0"/>
          <w:numId w:val="5"/>
        </w:numPr>
      </w:pPr>
      <w:r>
        <w:rPr>
          <w:rtl w:val="0"/>
        </w:rPr>
        <w:t>Nutrition &amp; Hydration: The athlete agrees to drink water consistently throughout the day leading up to intensive practices and games, avoiding energy drinks or heavy junk food immediately prior to exertion.</w:t>
      </w:r>
    </w:p>
    <w:p>
      <w:pPr>
        <w:pStyle w:val="Heading 2"/>
        <w:numPr>
          <w:ilvl w:val="0"/>
          <w:numId w:val="2"/>
        </w:numPr>
        <w:rPr>
          <w:lang w:val="en-US"/>
        </w:rPr>
      </w:pPr>
      <w:r>
        <w:rPr>
          <w:rtl w:val="0"/>
          <w:lang w:val="en-US"/>
        </w:rPr>
        <w:t>The Intersection of Sports, School, and Chores</w:t>
      </w:r>
    </w:p>
    <w:p>
      <w:pPr>
        <w:pStyle w:val="Body"/>
        <w:numPr>
          <w:ilvl w:val="0"/>
          <w:numId w:val="5"/>
        </w:numPr>
      </w:pPr>
      <w:r>
        <w:rPr>
          <w:rtl w:val="0"/>
        </w:rPr>
        <w:t>Academic Standards: High school and middle school athletes must maintain a specific GPA (e.g., 2.5 or 3.0) or have no failing grades to remain eligible for sports participation, regardless of league minimum rules.</w:t>
      </w:r>
    </w:p>
    <w:p>
      <w:pPr>
        <w:pStyle w:val="Body"/>
        <w:numPr>
          <w:ilvl w:val="0"/>
          <w:numId w:val="5"/>
        </w:numPr>
      </w:pPr>
      <w:r>
        <w:rPr>
          <w:rtl w:val="0"/>
        </w:rPr>
        <w:t>Homework Completion: Homework must be completed during designated study hours or before leaving for practice. Procrastination will result in a parental review of sports schedules.</w:t>
      </w:r>
    </w:p>
    <w:p>
      <w:pPr>
        <w:pStyle w:val="Body"/>
        <w:numPr>
          <w:ilvl w:val="0"/>
          <w:numId w:val="5"/>
        </w:numPr>
      </w:pPr>
      <w:r>
        <w:rPr>
          <w:rtl w:val="0"/>
        </w:rPr>
        <w:t>Household Contributions: Daily or weekly household chores (e.g., room cleaning, trash, pet care) cannot be skipped or neglected due to sports practice fatigue.</w:t>
      </w:r>
    </w:p>
    <w:p>
      <w:pPr>
        <w:pStyle w:val="Heading 2"/>
        <w:numPr>
          <w:ilvl w:val="0"/>
          <w:numId w:val="2"/>
        </w:numPr>
        <w:rPr>
          <w:lang w:val="en-US"/>
        </w:rPr>
      </w:pPr>
      <w:r>
        <w:rPr>
          <w:rtl w:val="0"/>
          <w:lang w:val="en-US"/>
        </w:rPr>
        <w:t>Direct Athlete Communication &amp; Addressing Concerns</w:t>
      </w:r>
    </w:p>
    <w:p>
      <w:pPr>
        <w:pStyle w:val="Body"/>
        <w:numPr>
          <w:ilvl w:val="0"/>
          <w:numId w:val="5"/>
        </w:numPr>
      </w:pPr>
      <w:r>
        <w:rPr>
          <w:rtl w:val="0"/>
        </w:rPr>
        <w:t xml:space="preserve"> </w:t>
      </w:r>
      <w:r>
        <w:rPr>
          <w:rtl w:val="0"/>
        </w:rPr>
        <w:t>Self-Advocacy: From age 11 upward, if an athlete is unhappy with playing time, positioning, or a coach's behavior, they must schedule a polite, one-on-one meeting with the coach to discuss it before a parent steps in.</w:t>
      </w:r>
    </w:p>
    <w:p>
      <w:pPr>
        <w:pStyle w:val="Body"/>
        <w:numPr>
          <w:ilvl w:val="0"/>
          <w:numId w:val="5"/>
        </w:numPr>
      </w:pPr>
      <w:r>
        <w:rPr>
          <w:rtl w:val="0"/>
        </w:rPr>
        <w:t xml:space="preserve"> </w:t>
      </w:r>
      <w:r>
        <w:rPr>
          <w:rtl w:val="0"/>
        </w:rPr>
        <w:t>The 24-Hour Rule: Parents and athletes agree to wait a full 24 hours after a game before sending an email, making a phone call, or approaching a coach to discuss a frustrating competitive event.</w:t>
      </w:r>
    </w:p>
    <w:p>
      <w:pPr>
        <w:pStyle w:val="Body"/>
        <w:numPr>
          <w:ilvl w:val="0"/>
          <w:numId w:val="5"/>
        </w:numPr>
      </w:pPr>
      <w:r>
        <w:rPr>
          <w:rtl w:val="0"/>
        </w:rPr>
        <w:t xml:space="preserve"> Constructive Tone: All family communications with coaching staff and league administrators will remain polite, collaborative, and solution-oriented.</w:t>
      </w:r>
    </w:p>
    <w:p>
      <w:pPr>
        <w:pStyle w:val="Heading 2"/>
        <w:numPr>
          <w:ilvl w:val="0"/>
          <w:numId w:val="2"/>
        </w:numPr>
        <w:rPr>
          <w:lang w:val="en-US"/>
        </w:rPr>
      </w:pPr>
      <w:r>
        <w:rPr>
          <w:rtl w:val="0"/>
          <w:lang w:val="en-US"/>
        </w:rPr>
        <w:t>Sideline Boundaries &amp; Car Ride Rules</w:t>
      </w:r>
    </w:p>
    <w:p>
      <w:pPr>
        <w:pStyle w:val="Body"/>
        <w:numPr>
          <w:ilvl w:val="0"/>
          <w:numId w:val="5"/>
        </w:numPr>
      </w:pPr>
      <w:r>
        <w:rPr>
          <w:rtl w:val="0"/>
        </w:rPr>
        <w:t xml:space="preserve"> Zero Sideline Coaching: Parents agree to limit their sideline vocalizations to general encouragement ('Let's go!', 'Great effort!'). Shouting tactical instructions ('Shoot!', 'Pass!', 'Run!') is strictly forbidden.</w:t>
      </w:r>
    </w:p>
    <w:p>
      <w:pPr>
        <w:pStyle w:val="Body"/>
        <w:numPr>
          <w:ilvl w:val="0"/>
          <w:numId w:val="5"/>
        </w:numPr>
      </w:pPr>
      <w:r>
        <w:rPr>
          <w:rtl w:val="0"/>
        </w:rPr>
        <w:t xml:space="preserve"> Official Respect: Zero tolerance for shouting at referees, umpires, or officials. A single infraction results in a parent voluntarily leaving the sideline for the remainder of that game.</w:t>
      </w:r>
    </w:p>
    <w:p>
      <w:pPr>
        <w:pStyle w:val="Body"/>
        <w:numPr>
          <w:ilvl w:val="0"/>
          <w:numId w:val="5"/>
        </w:numPr>
      </w:pPr>
      <w:r>
        <w:rPr>
          <w:rtl w:val="0"/>
        </w:rPr>
        <w:t xml:space="preserve"> The Safe Car Ride Home: The ride home belongs to the athlete. Parents will not break down performance errors or lecture the athlete unless the athlete explicitly asks for tactical feedback.</w:t>
      </w:r>
    </w:p>
    <w:p>
      <w:pPr>
        <w:pStyle w:val="Heading 2"/>
        <w:numPr>
          <w:ilvl w:val="0"/>
          <w:numId w:val="2"/>
        </w:numPr>
        <w:rPr>
          <w:lang w:val="en-US"/>
        </w:rPr>
      </w:pPr>
      <w:r>
        <w:rPr>
          <w:rtl w:val="0"/>
          <w:lang w:val="en-US"/>
        </w:rPr>
        <w:t>Social Media, Group Chats, and Team Text Etiquette</w:t>
      </w:r>
    </w:p>
    <w:p>
      <w:pPr>
        <w:pStyle w:val="Body"/>
        <w:numPr>
          <w:ilvl w:val="0"/>
          <w:numId w:val="5"/>
        </w:numPr>
      </w:pPr>
      <w:r>
        <w:rPr>
          <w:rtl w:val="0"/>
          <w:lang w:val="en-US"/>
        </w:rPr>
        <w:t>Digital Citizenship: Athletes will never post negative, mocking, or exclusionary comments about teammates, opponents, coaches, or officials on platforms like Instagram, TikTok, Snapchat, or team group chats.</w:t>
      </w:r>
    </w:p>
    <w:p>
      <w:pPr>
        <w:pStyle w:val="Body"/>
        <w:numPr>
          <w:ilvl w:val="0"/>
          <w:numId w:val="5"/>
        </w:numPr>
      </w:pPr>
      <w:r>
        <w:rPr>
          <w:rtl w:val="0"/>
          <w:lang w:val="en-US"/>
        </w:rPr>
        <w:t xml:space="preserve"> Cyberbullying: Any instances of cyberbullying or online exclusion directed at teammates will result in immediate suspension from sports activities by the parent.</w:t>
      </w:r>
    </w:p>
    <w:p>
      <w:pPr>
        <w:pStyle w:val="Body"/>
        <w:numPr>
          <w:ilvl w:val="0"/>
          <w:numId w:val="5"/>
        </w:numPr>
      </w:pPr>
      <w:r>
        <w:rPr>
          <w:rtl w:val="0"/>
          <w:lang w:val="en-US"/>
        </w:rPr>
        <w:t xml:space="preserve"> Privacy Boundaries: No filming or taking photos in locker rooms or private team spaces, respecting the privacy and dignity of all participants.</w:t>
      </w:r>
    </w:p>
    <w:p>
      <w:pPr>
        <w:pStyle w:val="Heading 2"/>
        <w:numPr>
          <w:ilvl w:val="0"/>
          <w:numId w:val="6"/>
        </w:numPr>
      </w:pPr>
      <w:r>
        <w:rPr>
          <w:rtl w:val="0"/>
          <w:lang w:val="en-US"/>
        </w:rPr>
        <w:t>Health, Injury Reporting, and Mental Wellness Pauses</w:t>
      </w:r>
    </w:p>
    <w:p>
      <w:pPr>
        <w:pStyle w:val="Body"/>
        <w:numPr>
          <w:ilvl w:val="0"/>
          <w:numId w:val="5"/>
        </w:numPr>
      </w:pPr>
      <w:r>
        <w:rPr>
          <w:rtl w:val="0"/>
          <w:lang w:val="en-US"/>
        </w:rPr>
        <w:t xml:space="preserve"> Injury Honesty: Athletes promise never to hide concussive symptoms (dizziness, headaches), sharp pains, or structural injuries just to stay in a game.</w:t>
      </w:r>
    </w:p>
    <w:p>
      <w:pPr>
        <w:pStyle w:val="Body"/>
        <w:numPr>
          <w:ilvl w:val="0"/>
          <w:numId w:val="5"/>
        </w:numPr>
      </w:pPr>
      <w:r>
        <w:rPr>
          <w:rtl w:val="0"/>
          <w:lang w:val="en-US"/>
        </w:rPr>
        <w:t xml:space="preserve"> Medical Authority: The advice of medical professionals, athletic trainers, and parental judgment overrides an athlete's desire to play or a coach's desire to win. Return-to-play protocols will be followed strictly.</w:t>
      </w:r>
    </w:p>
    <w:p>
      <w:pPr>
        <w:pStyle w:val="Body"/>
        <w:numPr>
          <w:ilvl w:val="0"/>
          <w:numId w:val="5"/>
        </w:numPr>
      </w:pPr>
      <w:r>
        <w:rPr>
          <w:rtl w:val="0"/>
          <w:lang w:val="en-US"/>
        </w:rPr>
        <w:t xml:space="preserve"> Mental Health Breaks: If sports participation is inducing severe anxiety, clinical panic, or destroying a child's self-esteem, the parent retains full authority to pause participation to prioritize mental well-being.</w:t>
      </w:r>
    </w:p>
    <w:p>
      <w:pPr>
        <w:pStyle w:val="Heading 2"/>
        <w:numPr>
          <w:ilvl w:val="0"/>
          <w:numId w:val="7"/>
        </w:numPr>
      </w:pPr>
      <w:r>
        <w:rPr>
          <w:rtl w:val="0"/>
          <w:lang w:val="en-US"/>
        </w:rPr>
        <w:t>Post-Game Family Recovery &amp; Celebrations</w:t>
      </w:r>
    </w:p>
    <w:p>
      <w:pPr>
        <w:pStyle w:val="Body"/>
        <w:numPr>
          <w:ilvl w:val="0"/>
          <w:numId w:val="5"/>
        </w:numPr>
      </w:pPr>
      <w:r>
        <w:rPr>
          <w:rtl w:val="0"/>
          <w:lang w:val="en-US"/>
        </w:rPr>
        <w:t xml:space="preserve"> Effort Over Outcome: Celebrations or post-game meals will be organized to celebrate great effort, outstanding sportsmanship, or general team camaraderie, completely separate from whether the team won or lost.</w:t>
      </w:r>
    </w:p>
    <w:p>
      <w:pPr>
        <w:pStyle w:val="Body"/>
        <w:numPr>
          <w:ilvl w:val="0"/>
          <w:numId w:val="5"/>
        </w:numPr>
      </w:pPr>
      <w:r>
        <w:rPr>
          <w:rtl w:val="0"/>
          <w:lang w:val="en-US"/>
        </w:rPr>
        <w:t xml:space="preserve"> Decompression Time: The family will allow a 30-minute decompression window after tough losses before diving into normal family routines, giving everyone space to process competitive emotions.</w:t>
      </w:r>
    </w:p>
    <w:p>
      <w:pPr>
        <w:pStyle w:val="Heading"/>
        <w:jc w:val="center"/>
      </w:pPr>
      <w:r>
        <w:rPr>
          <w:rtl w:val="0"/>
          <w:lang w:val="en-US"/>
        </w:rPr>
        <w:t>Administrator Guide</w:t>
      </w:r>
    </w:p>
    <w:p>
      <w:pPr>
        <w:pStyle w:val="Title"/>
      </w:pPr>
      <w:r>
        <w:rPr>
          <w:rtl w:val="0"/>
          <w:lang w:val="en-US"/>
        </w:rPr>
        <w:t>How to Customize This Agreement</w:t>
      </w:r>
    </w:p>
    <w:p>
      <w:pPr>
        <w:pStyle w:val="Body"/>
      </w:pPr>
      <w:r>
        <w:rPr>
          <w:rtl w:val="0"/>
          <w:lang w:val="en-US"/>
        </w:rPr>
        <w:t>This asset series is designed to be highly flexible, ensuring that ParentSideline.com users can maximize its practical value within their unique household and league environments. Follow these guidelines to customize and implement the agreements successfully:</w:t>
      </w:r>
    </w:p>
    <w:p>
      <w:pPr>
        <w:pStyle w:val="Body"/>
      </w:pPr>
      <w:r>
        <w:rPr>
          <w:rtl w:val="0"/>
          <w:lang w:val="en-US"/>
        </w:rPr>
        <w:t>1. Review as a Parent First: Read through the age-appropriate templates yourself. Reflect on your family's core values, schedules, and past sports friction points.</w:t>
      </w:r>
    </w:p>
    <w:p>
      <w:pPr>
        <w:pStyle w:val="Body"/>
      </w:pPr>
      <w:r>
        <w:rPr>
          <w:rtl w:val="0"/>
          <w:lang w:val="en-US"/>
        </w:rPr>
        <w:t>2. Select Your Optional Modules: Copy and paste relevant clauses from the 'Optional Family Conditions and Ideas' section directly into the empty 'Custom Family Choice' slots or replace existing commitments that do not apply to your family.</w:t>
      </w:r>
    </w:p>
    <w:p>
      <w:pPr>
        <w:pStyle w:val="Body"/>
      </w:pPr>
      <w:r>
        <w:rPr>
          <w:rtl w:val="0"/>
          <w:lang w:val="en-US"/>
        </w:rPr>
        <w:t>3. Keep it to One Page: Ensure that the active core agreement (the fields, commitments, and signatures) remains on a single sheet of paper when printed. This makes it a highly visible, non-overwhelming visual reminder when posted on a refrigerator or family board.</w:t>
      </w:r>
    </w:p>
    <w:p>
      <w:pPr>
        <w:pStyle w:val="Body"/>
      </w:pPr>
      <w:r>
        <w:rPr>
          <w:rtl w:val="0"/>
          <w:lang w:val="en-US"/>
        </w:rPr>
        <w:t>4. Conduct a Collaborative Family Meeting: Do not hand this to your child as a list of corporate rules. Sit down over dinner or a relaxed weekend morning. Read through the commitments together, discuss what they mean, and fill out the fields jointly. Ensure the child understands that the parent is signing an agreement to support them, making it a reciprocal family compact.</w:t>
      </w:r>
    </w:p>
    <w:p>
      <w:pPr>
        <w:pStyle w:val="Body"/>
      </w:pPr>
      <w:r>
        <w:rPr>
          <w:rtl w:val="0"/>
          <w:lang w:val="en-US"/>
        </w:rPr>
        <w:t>5. Execute and Display: Have both parties physically sign and date the single-page document. Place it in a central household location. If a commitment is strained during the season, reference the agreement gently as a neutral reminder of the promise made to the team and family.</w:t>
      </w:r>
    </w:p>
    <w:sectPr>
      <w:headerReference w:type="default" r:id="rId4"/>
      <w:footerReference w:type="default" r:id="rId5"/>
      <w:pgSz w:w="12240" w:h="15840" w:orient="portrait"/>
      <w:pgMar w:top="1152" w:right="1152" w:bottom="1152" w:left="1152" w:header="72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ing 2"/>
      <w:jc w:val="center"/>
    </w:pPr>
    <w:r>
      <w:rPr>
        <w:b w:val="0"/>
        <w:bCs w:val="0"/>
        <w:sz w:val="24"/>
        <w:szCs w:val="24"/>
        <w:rtl w:val="0"/>
        <w:lang w:val="en-US"/>
      </w:rPr>
      <w:t>ParentSideline.com Downloadable Asset Series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2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0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8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6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4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0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8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66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Numbered.0"/>
  </w:abstractNum>
  <w:abstractNum w:abstractNumId="3">
    <w:multiLevelType w:val="hybridMultilevel"/>
    <w:styleLink w:val="Numbered.0"/>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9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7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5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7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start w:val="1"/>
        <w:numFmt w:val="decimal"/>
        <w:suff w:val="tab"/>
        <w:lvlText w:val="%1."/>
        <w:lvlJc w:val="left"/>
        <w:pPr>
          <w:ind w:left="274" w:hanging="274"/>
        </w:pPr>
        <w:rPr>
          <w:rFonts w:hAnsi="Arial Unicode MS"/>
          <w:b w:val="1"/>
          <w:bCs w:val="1"/>
          <w:caps w:val="0"/>
          <w:smallCaps w:val="0"/>
          <w:strike w:val="0"/>
          <w:dstrike w:val="0"/>
          <w:outline w:val="0"/>
          <w:emboss w:val="0"/>
          <w:imprint w:val="0"/>
          <w:color w:val="525252"/>
          <w:spacing w:val="0"/>
          <w:w w:val="100"/>
          <w:kern w:val="0"/>
          <w:position w:val="0"/>
          <w:highlight w:val="none"/>
          <w:vertAlign w:val="baseline"/>
        </w:rPr>
      </w:lvl>
    </w:lvlOverride>
    <w:lvlOverride w:ilvl="1">
      <w:lvl w:ilvl="1">
        <w:start w:val="1"/>
        <w:numFmt w:val="decimal"/>
        <w:suff w:val="nothing"/>
        <w:lvlText w:val="%1.%2."/>
        <w:lvlJc w:val="left"/>
        <w:pPr>
          <w:ind w:left="1074" w:hanging="274"/>
        </w:pPr>
        <w:rPr>
          <w:rFonts w:hAnsi="Arial Unicode MS"/>
          <w:b w:val="1"/>
          <w:bCs w:val="1"/>
          <w:caps w:val="0"/>
          <w:smallCaps w:val="0"/>
          <w:strike w:val="0"/>
          <w:dstrike w:val="0"/>
          <w:outline w:val="0"/>
          <w:emboss w:val="0"/>
          <w:imprint w:val="0"/>
          <w:color w:val="525252"/>
          <w:spacing w:val="0"/>
          <w:w w:val="100"/>
          <w:kern w:val="0"/>
          <w:position w:val="0"/>
          <w:highlight w:val="none"/>
          <w:vertAlign w:val="baseline"/>
        </w:rPr>
      </w:lvl>
    </w:lvlOverride>
    <w:lvlOverride w:ilvl="2">
      <w:lvl w:ilvl="2">
        <w:start w:val="1"/>
        <w:numFmt w:val="decimal"/>
        <w:suff w:val="nothing"/>
        <w:lvlText w:val="%1.%2.%3."/>
        <w:lvlJc w:val="left"/>
        <w:pPr>
          <w:ind w:left="1874" w:hanging="274"/>
        </w:pPr>
        <w:rPr>
          <w:rFonts w:hAnsi="Arial Unicode MS"/>
          <w:b w:val="1"/>
          <w:bCs w:val="1"/>
          <w:caps w:val="0"/>
          <w:smallCaps w:val="0"/>
          <w:strike w:val="0"/>
          <w:dstrike w:val="0"/>
          <w:outline w:val="0"/>
          <w:emboss w:val="0"/>
          <w:imprint w:val="0"/>
          <w:color w:val="525252"/>
          <w:spacing w:val="0"/>
          <w:w w:val="100"/>
          <w:kern w:val="0"/>
          <w:position w:val="0"/>
          <w:highlight w:val="none"/>
          <w:vertAlign w:val="baseline"/>
        </w:rPr>
      </w:lvl>
    </w:lvlOverride>
    <w:lvlOverride w:ilvl="3">
      <w:lvl w:ilvl="3">
        <w:start w:val="1"/>
        <w:numFmt w:val="decimal"/>
        <w:suff w:val="nothing"/>
        <w:lvlText w:val="%1.%2.%3.%4."/>
        <w:lvlJc w:val="left"/>
        <w:pPr>
          <w:ind w:left="2674" w:hanging="274"/>
        </w:pPr>
        <w:rPr>
          <w:rFonts w:hAnsi="Arial Unicode MS"/>
          <w:b w:val="1"/>
          <w:bCs w:val="1"/>
          <w:caps w:val="0"/>
          <w:smallCaps w:val="0"/>
          <w:strike w:val="0"/>
          <w:dstrike w:val="0"/>
          <w:outline w:val="0"/>
          <w:emboss w:val="0"/>
          <w:imprint w:val="0"/>
          <w:color w:val="525252"/>
          <w:spacing w:val="0"/>
          <w:w w:val="100"/>
          <w:kern w:val="0"/>
          <w:position w:val="0"/>
          <w:highlight w:val="none"/>
          <w:vertAlign w:val="baseline"/>
        </w:rPr>
      </w:lvl>
    </w:lvlOverride>
    <w:lvlOverride w:ilvl="4">
      <w:lvl w:ilvl="4">
        <w:start w:val="1"/>
        <w:numFmt w:val="decimal"/>
        <w:suff w:val="nothing"/>
        <w:lvlText w:val="%1.%2.%3.%4.%5."/>
        <w:lvlJc w:val="left"/>
        <w:pPr>
          <w:ind w:left="3474" w:hanging="274"/>
        </w:pPr>
        <w:rPr>
          <w:rFonts w:hAnsi="Arial Unicode MS"/>
          <w:b w:val="1"/>
          <w:bCs w:val="1"/>
          <w:caps w:val="0"/>
          <w:smallCaps w:val="0"/>
          <w:strike w:val="0"/>
          <w:dstrike w:val="0"/>
          <w:outline w:val="0"/>
          <w:emboss w:val="0"/>
          <w:imprint w:val="0"/>
          <w:color w:val="525252"/>
          <w:spacing w:val="0"/>
          <w:w w:val="100"/>
          <w:kern w:val="0"/>
          <w:position w:val="0"/>
          <w:highlight w:val="none"/>
          <w:vertAlign w:val="baseline"/>
        </w:rPr>
      </w:lvl>
    </w:lvlOverride>
    <w:lvlOverride w:ilvl="5">
      <w:lvl w:ilvl="5">
        <w:start w:val="1"/>
        <w:numFmt w:val="decimal"/>
        <w:suff w:val="nothing"/>
        <w:lvlText w:val="%1.%2.%3.%4.%5.%6."/>
        <w:lvlJc w:val="left"/>
        <w:pPr>
          <w:ind w:left="4274" w:hanging="274"/>
        </w:pPr>
        <w:rPr>
          <w:rFonts w:hAnsi="Arial Unicode MS"/>
          <w:b w:val="1"/>
          <w:bCs w:val="1"/>
          <w:caps w:val="0"/>
          <w:smallCaps w:val="0"/>
          <w:strike w:val="0"/>
          <w:dstrike w:val="0"/>
          <w:outline w:val="0"/>
          <w:emboss w:val="0"/>
          <w:imprint w:val="0"/>
          <w:color w:val="525252"/>
          <w:spacing w:val="0"/>
          <w:w w:val="100"/>
          <w:kern w:val="0"/>
          <w:position w:val="0"/>
          <w:highlight w:val="none"/>
          <w:vertAlign w:val="baseline"/>
        </w:rPr>
      </w:lvl>
    </w:lvlOverride>
    <w:lvlOverride w:ilvl="6">
      <w:lvl w:ilvl="6">
        <w:start w:val="1"/>
        <w:numFmt w:val="decimal"/>
        <w:suff w:val="nothing"/>
        <w:lvlText w:val="%1.%2.%3.%4.%5.%6.%7."/>
        <w:lvlJc w:val="left"/>
        <w:pPr>
          <w:ind w:left="5074" w:hanging="274"/>
        </w:pPr>
        <w:rPr>
          <w:rFonts w:hAnsi="Arial Unicode MS"/>
          <w:b w:val="1"/>
          <w:bCs w:val="1"/>
          <w:caps w:val="0"/>
          <w:smallCaps w:val="0"/>
          <w:strike w:val="0"/>
          <w:dstrike w:val="0"/>
          <w:outline w:val="0"/>
          <w:emboss w:val="0"/>
          <w:imprint w:val="0"/>
          <w:color w:val="525252"/>
          <w:spacing w:val="0"/>
          <w:w w:val="100"/>
          <w:kern w:val="0"/>
          <w:position w:val="0"/>
          <w:highlight w:val="none"/>
          <w:vertAlign w:val="baseline"/>
        </w:rPr>
      </w:lvl>
    </w:lvlOverride>
    <w:lvlOverride w:ilvl="7">
      <w:lvl w:ilvl="7">
        <w:start w:val="1"/>
        <w:numFmt w:val="decimal"/>
        <w:suff w:val="nothing"/>
        <w:lvlText w:val="%1.%2.%3.%4.%5.%6.%7.%8."/>
        <w:lvlJc w:val="left"/>
        <w:pPr>
          <w:ind w:left="5874" w:hanging="274"/>
        </w:pPr>
        <w:rPr>
          <w:rFonts w:hAnsi="Arial Unicode MS"/>
          <w:b w:val="1"/>
          <w:bCs w:val="1"/>
          <w:caps w:val="0"/>
          <w:smallCaps w:val="0"/>
          <w:strike w:val="0"/>
          <w:dstrike w:val="0"/>
          <w:outline w:val="0"/>
          <w:emboss w:val="0"/>
          <w:imprint w:val="0"/>
          <w:color w:val="525252"/>
          <w:spacing w:val="0"/>
          <w:w w:val="100"/>
          <w:kern w:val="0"/>
          <w:position w:val="0"/>
          <w:highlight w:val="none"/>
          <w:vertAlign w:val="baseline"/>
        </w:rPr>
      </w:lvl>
    </w:lvlOverride>
    <w:lvlOverride w:ilvl="8">
      <w:lvl w:ilvl="8">
        <w:start w:val="1"/>
        <w:numFmt w:val="decimal"/>
        <w:suff w:val="nothing"/>
        <w:lvlText w:val="%1.%2.%3.%4.%5.%6.%7.%8.%9."/>
        <w:lvlJc w:val="left"/>
        <w:pPr>
          <w:ind w:left="6674" w:hanging="274"/>
        </w:pPr>
        <w:rPr>
          <w:rFonts w:hAnsi="Arial Unicode MS"/>
          <w:b w:val="1"/>
          <w:bCs w:val="1"/>
          <w:caps w:val="0"/>
          <w:smallCaps w:val="0"/>
          <w:strike w:val="0"/>
          <w:dstrike w:val="0"/>
          <w:outline w:val="0"/>
          <w:emboss w:val="0"/>
          <w:imprint w:val="0"/>
          <w:color w:val="525252"/>
          <w:spacing w:val="0"/>
          <w:w w:val="100"/>
          <w:kern w:val="0"/>
          <w:position w:val="0"/>
          <w:highlight w:val="none"/>
          <w:vertAlign w:val="baseline"/>
        </w:rPr>
      </w:lvl>
    </w:lvlOverride>
  </w:num>
  <w:num w:numId="7">
    <w:abstractNumId w:val="0"/>
    <w:lvlOverride w:ilvl="0">
      <w:lvl w:ilvl="0">
        <w:start w:val="1"/>
        <w:numFmt w:val="decimal"/>
        <w:suff w:val="tab"/>
        <w:lvlText w:val="%1."/>
        <w:lvlJc w:val="left"/>
        <w:pPr>
          <w:ind w:left="2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10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8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6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34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42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50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58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6674" w:hanging="2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40" w:after="8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595959"/>
      <w:spacing w:val="0"/>
      <w:kern w:val="0"/>
      <w:position w:val="0"/>
      <w:sz w:val="26"/>
      <w:szCs w:val="26"/>
      <w:u w:val="none" w:color="595959"/>
      <w:shd w:val="nil" w:color="auto" w:fill="auto"/>
      <w:vertAlign w:val="baseline"/>
      <w:lang w:val="en-US"/>
      <w14:textOutline>
        <w14:noFill/>
      </w14:textOutline>
      <w14:textFill>
        <w14:solidFill>
          <w14:srgbClr w14:val="595959"/>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2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Title">
    <w:name w:val="Title"/>
    <w:next w:val="Body"/>
    <w:pPr>
      <w:keepNext w:val="0"/>
      <w:keepLines w:val="0"/>
      <w:pageBreakBefore w:val="0"/>
      <w:widowControl w:val="1"/>
      <w:pBdr>
        <w:top w:val="nil"/>
        <w:left w:val="nil"/>
        <w:bottom w:val="single" w:color="4f81bd" w:sz="8" w:space="0" w:shadow="0" w:frame="0"/>
        <w:right w:val="nil"/>
      </w:pBdr>
      <w:shd w:val="clear" w:color="auto" w:fill="auto"/>
      <w:suppressAutoHyphens w:val="0"/>
      <w:bidi w:val="0"/>
      <w:spacing w:before="0" w:after="240" w:line="240" w:lineRule="auto"/>
      <w:ind w:left="0" w:right="0" w:firstLine="0"/>
      <w:jc w:val="center"/>
      <w:outlineLvl w:val="9"/>
    </w:pPr>
    <w:rPr>
      <w:rFonts w:ascii="Calibri" w:cs="Arial Unicode MS" w:hAnsi="Calibri" w:eastAsia="Arial Unicode MS"/>
      <w:b w:val="1"/>
      <w:bCs w:val="1"/>
      <w:i w:val="0"/>
      <w:iCs w:val="0"/>
      <w:caps w:val="0"/>
      <w:smallCaps w:val="0"/>
      <w:strike w:val="0"/>
      <w:dstrike w:val="0"/>
      <w:outline w:val="0"/>
      <w:color w:val="1f4e79"/>
      <w:spacing w:val="5"/>
      <w:kern w:val="28"/>
      <w:position w:val="0"/>
      <w:sz w:val="48"/>
      <w:szCs w:val="48"/>
      <w:u w:val="none" w:color="1f4e79"/>
      <w:shd w:val="nil" w:color="auto" w:fill="auto"/>
      <w:vertAlign w:val="baseline"/>
      <w:lang w:val="en-US"/>
      <w14:textOutline>
        <w14:noFill/>
      </w14:textOutline>
      <w14:textFill>
        <w14:solidFill>
          <w14:srgbClr w14:val="1F4E79"/>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80" w:after="120" w:line="276"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1f4e79"/>
      <w:spacing w:val="0"/>
      <w:kern w:val="0"/>
      <w:position w:val="0"/>
      <w:sz w:val="32"/>
      <w:szCs w:val="32"/>
      <w:u w:val="none" w:color="1f4e79"/>
      <w:shd w:val="nil" w:color="auto" w:fill="auto"/>
      <w:vertAlign w:val="baseline"/>
      <w:lang w:val="en-US"/>
      <w14:textOutline>
        <w14:noFill/>
      </w14:textOutline>
      <w14:textFill>
        <w14:solidFill>
          <w14:srgbClr w14:val="1F4E79"/>
        </w14:solidFill>
      </w14:textFill>
    </w:rPr>
  </w:style>
  <w:style w:type="numbering" w:styleId="Numbered">
    <w:name w:val="Numbered"/>
    <w:pPr>
      <w:numPr>
        <w:numId w:val="1"/>
      </w:numPr>
    </w:pPr>
  </w:style>
  <w:style w:type="numbering" w:styleId="Numbered.0">
    <w:name w:val="Numbered.0"/>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